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483"/>
        <w:gridCol w:w="5835"/>
        <w:gridCol w:w="7631"/>
      </w:tblGrid>
      <w:tr w:rsidR="007741CA" w:rsidRPr="007741CA" w14:paraId="50497E1B" w14:textId="77777777" w:rsidTr="00747BCD">
        <w:trPr>
          <w:trHeight w:val="552"/>
        </w:trPr>
        <w:tc>
          <w:tcPr>
            <w:tcW w:w="13887" w:type="dxa"/>
            <w:gridSpan w:val="3"/>
          </w:tcPr>
          <w:p w14:paraId="19B1AD13" w14:textId="278EEF64" w:rsidR="008A4530" w:rsidRPr="00747BCD" w:rsidRDefault="001B2602">
            <w:pPr>
              <w:rPr>
                <w:b/>
                <w:bCs/>
                <w:sz w:val="28"/>
                <w:szCs w:val="28"/>
              </w:rPr>
            </w:pPr>
            <w:r w:rsidRPr="00747BCD">
              <w:rPr>
                <w:b/>
                <w:bCs/>
                <w:sz w:val="28"/>
                <w:szCs w:val="28"/>
              </w:rPr>
              <w:t xml:space="preserve">Dotazy spojené </w:t>
            </w:r>
            <w:r w:rsidR="00E65743" w:rsidRPr="00747BCD">
              <w:rPr>
                <w:b/>
                <w:bCs/>
                <w:sz w:val="28"/>
                <w:szCs w:val="28"/>
              </w:rPr>
              <w:t>s</w:t>
            </w:r>
            <w:r w:rsidR="00435432" w:rsidRPr="00747BCD">
              <w:rPr>
                <w:b/>
                <w:bCs/>
                <w:sz w:val="28"/>
                <w:szCs w:val="28"/>
              </w:rPr>
              <w:t xml:space="preserve"> prováděním - </w:t>
            </w:r>
            <w:r w:rsidR="00E65743" w:rsidRPr="00747BCD">
              <w:rPr>
                <w:b/>
                <w:bCs/>
                <w:sz w:val="28"/>
                <w:szCs w:val="28"/>
              </w:rPr>
              <w:t>provozem</w:t>
            </w:r>
            <w:r w:rsidR="00E905BF" w:rsidRPr="00747BCD">
              <w:rPr>
                <w:b/>
                <w:bCs/>
                <w:sz w:val="28"/>
                <w:szCs w:val="28"/>
              </w:rPr>
              <w:t>, účtováním a zánikem</w:t>
            </w:r>
            <w:r w:rsidR="00E65743" w:rsidRPr="00747BCD">
              <w:rPr>
                <w:b/>
                <w:bCs/>
                <w:sz w:val="28"/>
                <w:szCs w:val="28"/>
              </w:rPr>
              <w:t xml:space="preserve"> ISP</w:t>
            </w:r>
            <w:r w:rsidR="00E905BF" w:rsidRPr="00747BCD">
              <w:rPr>
                <w:b/>
                <w:bCs/>
                <w:sz w:val="28"/>
                <w:szCs w:val="28"/>
              </w:rPr>
              <w:t xml:space="preserve"> </w:t>
            </w:r>
            <w:r w:rsidR="00275B7A" w:rsidRPr="00747BCD">
              <w:rPr>
                <w:b/>
                <w:bCs/>
                <w:sz w:val="28"/>
                <w:szCs w:val="28"/>
              </w:rPr>
              <w:t>(</w:t>
            </w:r>
            <w:r w:rsidR="00E905BF" w:rsidRPr="00747BCD">
              <w:rPr>
                <w:b/>
                <w:bCs/>
                <w:sz w:val="28"/>
                <w:szCs w:val="28"/>
              </w:rPr>
              <w:t xml:space="preserve">podle </w:t>
            </w:r>
            <w:r w:rsidR="00275B7A" w:rsidRPr="00747BCD">
              <w:rPr>
                <w:b/>
                <w:bCs/>
                <w:sz w:val="28"/>
                <w:szCs w:val="28"/>
              </w:rPr>
              <w:t xml:space="preserve">zákona </w:t>
            </w:r>
            <w:r w:rsidR="00745350" w:rsidRPr="00747BCD">
              <w:rPr>
                <w:b/>
                <w:bCs/>
                <w:sz w:val="28"/>
                <w:szCs w:val="28"/>
              </w:rPr>
              <w:t>č. 468/2024 Sb.</w:t>
            </w:r>
            <w:r w:rsidR="00435432" w:rsidRPr="00747BCD">
              <w:rPr>
                <w:b/>
                <w:bCs/>
                <w:sz w:val="28"/>
                <w:szCs w:val="28"/>
              </w:rPr>
              <w:t>)</w:t>
            </w:r>
          </w:p>
        </w:tc>
      </w:tr>
      <w:tr w:rsidR="00260B22" w:rsidRPr="007741CA" w14:paraId="5A25F4D5" w14:textId="77777777" w:rsidTr="002073C2">
        <w:tc>
          <w:tcPr>
            <w:tcW w:w="421" w:type="dxa"/>
          </w:tcPr>
          <w:p w14:paraId="53653689" w14:textId="7D2E8430" w:rsidR="00260B22" w:rsidRPr="007741CA" w:rsidRDefault="00260B22" w:rsidP="008A4530">
            <w:r w:rsidRPr="007741CA">
              <w:t>1</w:t>
            </w:r>
          </w:p>
        </w:tc>
        <w:tc>
          <w:tcPr>
            <w:tcW w:w="5835" w:type="dxa"/>
          </w:tcPr>
          <w:p w14:paraId="6CEA1543" w14:textId="24BCE60D" w:rsidR="00260B22" w:rsidRPr="007741CA" w:rsidRDefault="00260B22" w:rsidP="008A4530">
            <w:r w:rsidRPr="007741CA">
              <w:t>Jakým způsobem dochází k výpočtu výše integračního fondu v průběhu času? §17 Zákona č. 468/2024 Sb. zmiňuje kritéria % vlastního kapitálu a % zisku běžného období. Má některé z těchto kritérií přednost, nebo musí být plněny současně? Prosím o vysvětlení na modelovém příkladu.</w:t>
            </w:r>
          </w:p>
        </w:tc>
        <w:tc>
          <w:tcPr>
            <w:tcW w:w="7631" w:type="dxa"/>
          </w:tcPr>
          <w:p w14:paraId="2491E13C" w14:textId="2F09713A" w:rsidR="008B5312" w:rsidRPr="00B06D50" w:rsidRDefault="008B5312" w:rsidP="00D325A9">
            <w:r w:rsidRPr="00B06D50">
              <w:t>Nejvhodnějším způsobem, jak porozumět tvorbě a snižování integračního fondu</w:t>
            </w:r>
            <w:r w:rsidR="00B06D50" w:rsidRPr="00B06D50">
              <w:t xml:space="preserve"> (IF)</w:t>
            </w:r>
            <w:r w:rsidRPr="00B06D50">
              <w:t>, je nejprve se zaměřit na vytváření fondu ze zisku a pak teprve na jeho požadovanou výši v poměru k vlastnímu kapitálu</w:t>
            </w:r>
            <w:r w:rsidR="00B06D50" w:rsidRPr="00B06D50">
              <w:t xml:space="preserve"> (VK)</w:t>
            </w:r>
            <w:r w:rsidRPr="00B06D50">
              <w:t>.</w:t>
            </w:r>
          </w:p>
          <w:p w14:paraId="5E5990BA" w14:textId="77777777" w:rsidR="00260B22" w:rsidRPr="00B06D50" w:rsidRDefault="00B06D50" w:rsidP="00E9714B">
            <w:pPr>
              <w:spacing w:before="120"/>
            </w:pPr>
            <w:r w:rsidRPr="00B06D50">
              <w:t>ISP je povinen t</w:t>
            </w:r>
            <w:r w:rsidR="008B5312" w:rsidRPr="00B06D50">
              <w:t>vo</w:t>
            </w:r>
            <w:r w:rsidRPr="00B06D50">
              <w:t xml:space="preserve">řit </w:t>
            </w:r>
            <w:r w:rsidR="008B5312" w:rsidRPr="00B06D50">
              <w:t>integrační fond z</w:t>
            </w:r>
            <w:r w:rsidRPr="00B06D50">
              <w:t> 50%</w:t>
            </w:r>
            <w:r w:rsidR="008B5312" w:rsidRPr="00B06D50">
              <w:t xml:space="preserve"> zisku </w:t>
            </w:r>
            <w:r w:rsidRPr="00B06D50">
              <w:t xml:space="preserve">běžného období </w:t>
            </w:r>
            <w:r w:rsidR="008B5312" w:rsidRPr="00B06D50">
              <w:t>(§ 17 odst. 2). Pokud tak</w:t>
            </w:r>
            <w:r w:rsidRPr="00B06D50">
              <w:t>to vytvořený fond nedosahuje příslušného podílu na vlastním kapitálu (§ 17 odst. 1), je potřeba za tento fond označit i jiné části vlastního kapitálu (postačuje mimoúčetně). Takto označené části vlastního kapitálu, pokud tvorbou integračního fondu ze zisku následně dojde k navýšení IF tak, že bude vyhovovat minimálnímu poměru k VK, je možné následně „odznačit“, a to v souladu s § 17 odst. 4.</w:t>
            </w:r>
          </w:p>
          <w:p w14:paraId="28F9E791" w14:textId="77777777" w:rsidR="00B06D50" w:rsidRPr="00B06D50" w:rsidRDefault="00B06D50" w:rsidP="00D325A9"/>
          <w:p w14:paraId="4D4A43ED" w14:textId="77777777" w:rsidR="00B06D50" w:rsidRPr="00115352" w:rsidRDefault="00B06D50" w:rsidP="00D325A9">
            <w:r w:rsidRPr="00115352">
              <w:t xml:space="preserve">Příklad: </w:t>
            </w:r>
          </w:p>
          <w:p w14:paraId="7C9FD8A6" w14:textId="77777777" w:rsidR="00101B01" w:rsidRDefault="00B06D50" w:rsidP="00115352">
            <w:pPr>
              <w:spacing w:before="120"/>
            </w:pPr>
            <w:r w:rsidRPr="00115352">
              <w:rPr>
                <w:b/>
                <w:bCs/>
              </w:rPr>
              <w:t>Založen</w:t>
            </w:r>
            <w:r>
              <w:t xml:space="preserve"> ISP se ZK 200 tis. Kč.</w:t>
            </w:r>
            <w:r w:rsidR="001328A3">
              <w:t xml:space="preserve"> Na konci prvního roku je ve společnosti pouze tento vložený kapitál. Podle § 17 odst. 1 písm. a) musí být 10 tis. Kč z VK považováno za IF.</w:t>
            </w:r>
            <w:r w:rsidR="00101B01">
              <w:t xml:space="preserve"> </w:t>
            </w:r>
          </w:p>
          <w:p w14:paraId="1CA0DFB1" w14:textId="02C9927D" w:rsidR="00B06D50" w:rsidRPr="00101B01" w:rsidRDefault="00101B01" w:rsidP="00115352">
            <w:pPr>
              <w:spacing w:before="120"/>
              <w:rPr>
                <w:i/>
                <w:iCs/>
              </w:rPr>
            </w:pPr>
            <w:r w:rsidRPr="00101B01">
              <w:rPr>
                <w:i/>
                <w:iCs/>
              </w:rPr>
              <w:t>Pozn.: Pro snazší ilustrac</w:t>
            </w:r>
            <w:r>
              <w:rPr>
                <w:i/>
                <w:iCs/>
              </w:rPr>
              <w:t>i</w:t>
            </w:r>
            <w:r w:rsidRPr="00101B01">
              <w:rPr>
                <w:i/>
                <w:iCs/>
              </w:rPr>
              <w:t xml:space="preserve"> </w:t>
            </w:r>
            <w:r>
              <w:rPr>
                <w:i/>
                <w:iCs/>
              </w:rPr>
              <w:t>se předpokládá, že ISP</w:t>
            </w:r>
            <w:r w:rsidRPr="00101B01">
              <w:rPr>
                <w:i/>
                <w:iCs/>
              </w:rPr>
              <w:t xml:space="preserve"> </w:t>
            </w:r>
            <w:r>
              <w:rPr>
                <w:i/>
                <w:iCs/>
              </w:rPr>
              <w:t xml:space="preserve">v následujících letech </w:t>
            </w:r>
            <w:r w:rsidRPr="00101B01">
              <w:rPr>
                <w:i/>
                <w:iCs/>
              </w:rPr>
              <w:t>nebude rozdělovat</w:t>
            </w:r>
            <w:r>
              <w:rPr>
                <w:i/>
                <w:iCs/>
              </w:rPr>
              <w:t xml:space="preserve"> zisk</w:t>
            </w:r>
            <w:r w:rsidRPr="00101B01">
              <w:rPr>
                <w:i/>
                <w:iCs/>
              </w:rPr>
              <w:t xml:space="preserve"> mezi společníky (tj. bude zisky kumulovat).</w:t>
            </w:r>
          </w:p>
          <w:p w14:paraId="6CD218F1" w14:textId="001B375E" w:rsidR="001328A3" w:rsidRDefault="001328A3" w:rsidP="00115352">
            <w:pPr>
              <w:spacing w:before="120"/>
            </w:pPr>
            <w:r>
              <w:t xml:space="preserve">Ve </w:t>
            </w:r>
            <w:r w:rsidRPr="00115352">
              <w:rPr>
                <w:b/>
                <w:bCs/>
              </w:rPr>
              <w:t>druhém</w:t>
            </w:r>
            <w:r>
              <w:t xml:space="preserve"> roce ISP dosáhne zisku 20</w:t>
            </w:r>
            <w:r w:rsidR="00115352">
              <w:t xml:space="preserve"> tis. Kč</w:t>
            </w:r>
            <w:r>
              <w:t xml:space="preserve">. Z toho 10 </w:t>
            </w:r>
            <w:r w:rsidR="00115352">
              <w:t xml:space="preserve">tis. Kč </w:t>
            </w:r>
            <w:r>
              <w:t>musí být použito na vytvoření IF (ideálně i účetně). VK je tak nově 220</w:t>
            </w:r>
            <w:r w:rsidR="00115352">
              <w:t xml:space="preserve"> tis. Kč</w:t>
            </w:r>
            <w:r>
              <w:t xml:space="preserve"> (ZK + zisk). IF je 10 tis. Kč z minulého roku + 10 </w:t>
            </w:r>
            <w:r w:rsidR="00115352">
              <w:t xml:space="preserve">tis. Kč </w:t>
            </w:r>
            <w:r>
              <w:t xml:space="preserve">z přídělu. Podle § 17 odst. 1 písm. b) musí být IF alespoň </w:t>
            </w:r>
            <w:r w:rsidR="0000203B">
              <w:t xml:space="preserve">10% z 220 = </w:t>
            </w:r>
            <w:r w:rsidR="00407ED0">
              <w:t>22 tis. Kč. Proto je nutné další část VK ve výši 2</w:t>
            </w:r>
            <w:r w:rsidR="00115352">
              <w:t xml:space="preserve"> tis. Kč</w:t>
            </w:r>
            <w:r w:rsidR="00407ED0">
              <w:t xml:space="preserve"> evidenčně (postačuje mimoúčetně) označit za IF.</w:t>
            </w:r>
          </w:p>
          <w:p w14:paraId="535084A9" w14:textId="7B376184" w:rsidR="00407ED0" w:rsidRDefault="00407ED0" w:rsidP="00115352">
            <w:pPr>
              <w:spacing w:before="120"/>
            </w:pPr>
            <w:r>
              <w:t xml:space="preserve">Ve </w:t>
            </w:r>
            <w:r w:rsidRPr="00115352">
              <w:rPr>
                <w:b/>
                <w:bCs/>
              </w:rPr>
              <w:t>třetím</w:t>
            </w:r>
            <w:r>
              <w:t xml:space="preserve"> roce ISP dosáhne zisku 50</w:t>
            </w:r>
            <w:r w:rsidR="00115352">
              <w:t xml:space="preserve"> tis. Kč</w:t>
            </w:r>
            <w:r>
              <w:t>. Příděl do IF ze zisku bude 25</w:t>
            </w:r>
            <w:r w:rsidR="00115352">
              <w:t xml:space="preserve"> tis. Kč</w:t>
            </w:r>
            <w:r>
              <w:t xml:space="preserve"> (ideálně účetně). VK bude 270 </w:t>
            </w:r>
            <w:r w:rsidR="00115352">
              <w:t xml:space="preserve">tis. Kč </w:t>
            </w:r>
            <w:r>
              <w:t xml:space="preserve">(200 + 20 +50). </w:t>
            </w:r>
            <w:r>
              <w:lastRenderedPageBreak/>
              <w:t xml:space="preserve">IF je nyní 22 + 25 = 47 tis. Kč. Podle </w:t>
            </w:r>
            <w:r w:rsidR="00B64394">
              <w:t xml:space="preserve">§ 17 odst. 1 písm. c) musí být integrační fond alespoň 15% z 270 tis. Kč, tedy 40,5 tis. Kč. Vzhledem k tomu, že IF je nyní 47 tis. Kč, lze ho tak ponechat, nebo snížit o tu část, která byla tvořena jinými částmi kapitálu než zisk (tato </w:t>
            </w:r>
            <w:r w:rsidR="0000203B">
              <w:t xml:space="preserve">snížitelná </w:t>
            </w:r>
            <w:r w:rsidR="00B64394">
              <w:t xml:space="preserve">část </w:t>
            </w:r>
            <w:r w:rsidR="0000203B">
              <w:t xml:space="preserve">činí </w:t>
            </w:r>
            <w:r w:rsidR="00B64394">
              <w:t>12</w:t>
            </w:r>
            <w:r w:rsidR="0045172C">
              <w:t xml:space="preserve"> tis. Kč</w:t>
            </w:r>
            <w:r w:rsidR="00B64394">
              <w:t xml:space="preserve">; zbývající část 35 </w:t>
            </w:r>
            <w:r w:rsidR="0045172C">
              <w:t xml:space="preserve">tis. Kč </w:t>
            </w:r>
            <w:r w:rsidR="00B64394">
              <w:t>byla vytvořena ze zisku</w:t>
            </w:r>
            <w:r w:rsidR="0045172C">
              <w:t>)</w:t>
            </w:r>
            <w:r w:rsidR="00B64394">
              <w:t>. 6,5 tis. Kč VK lze tedy „vyjmout“ z integračního fondu.</w:t>
            </w:r>
          </w:p>
          <w:p w14:paraId="6B3E8FF7" w14:textId="54264387" w:rsidR="001328A3" w:rsidRPr="00B06D50" w:rsidRDefault="00B64394" w:rsidP="0045172C">
            <w:pPr>
              <w:spacing w:before="120"/>
            </w:pPr>
            <w:r>
              <w:t xml:space="preserve">Ve </w:t>
            </w:r>
            <w:r w:rsidRPr="00115352">
              <w:rPr>
                <w:b/>
                <w:bCs/>
              </w:rPr>
              <w:t>čtvrtém</w:t>
            </w:r>
            <w:r>
              <w:t xml:space="preserve"> roce bude zisk opět 50</w:t>
            </w:r>
            <w:r w:rsidR="0045172C">
              <w:t xml:space="preserve"> tis. Kč</w:t>
            </w:r>
            <w:r>
              <w:t>. Příděl do IF bude 25</w:t>
            </w:r>
            <w:r w:rsidR="0045172C">
              <w:t xml:space="preserve"> tis. Kč</w:t>
            </w:r>
            <w:r>
              <w:t xml:space="preserve">. VK bude </w:t>
            </w:r>
            <w:r w:rsidR="00115352">
              <w:t>320</w:t>
            </w:r>
            <w:r w:rsidR="0045172C">
              <w:t xml:space="preserve"> tis. Kč</w:t>
            </w:r>
            <w:r w:rsidR="00115352">
              <w:t>. Povinná minimální výše IF bude 15% z 320 = 48</w:t>
            </w:r>
            <w:r w:rsidR="0045172C">
              <w:t xml:space="preserve"> tis. Kč</w:t>
            </w:r>
            <w:r w:rsidR="00115352">
              <w:t xml:space="preserve">. Z integračního fondu tedy bude možné vyjmout zbývající části VK mimo tvorbu IF ze zisku. Minimální IF tedy bude 60 </w:t>
            </w:r>
            <w:r w:rsidR="0045172C">
              <w:t xml:space="preserve">tis. Kč </w:t>
            </w:r>
            <w:r w:rsidR="00115352">
              <w:t>(příděly ze zisku byly 10 + 25 + 25). IF nemůže klesnout na 48 tis. Kč, protože tím by bylo porušeno pravidlo, že IF nelze ponížit o části, které vznikly vytvořením ze zisku podle § 17 odst. 2.</w:t>
            </w:r>
          </w:p>
        </w:tc>
      </w:tr>
      <w:tr w:rsidR="007741CA" w:rsidRPr="007741CA" w14:paraId="1A226169" w14:textId="77777777" w:rsidTr="002073C2">
        <w:tc>
          <w:tcPr>
            <w:tcW w:w="421" w:type="dxa"/>
          </w:tcPr>
          <w:p w14:paraId="66465C88" w14:textId="60030FBD" w:rsidR="008A4530" w:rsidRPr="007741CA" w:rsidRDefault="00D42043" w:rsidP="008A4530">
            <w:r w:rsidRPr="007741CA">
              <w:lastRenderedPageBreak/>
              <w:t>2</w:t>
            </w:r>
          </w:p>
        </w:tc>
        <w:tc>
          <w:tcPr>
            <w:tcW w:w="5835" w:type="dxa"/>
          </w:tcPr>
          <w:p w14:paraId="2E77A13C" w14:textId="0D81B855" w:rsidR="008A4530" w:rsidRPr="007741CA" w:rsidRDefault="008A4530" w:rsidP="008A4530">
            <w:r w:rsidRPr="007741CA">
              <w:t>K jakému datu</w:t>
            </w:r>
            <w:r w:rsidR="00D42043" w:rsidRPr="007741CA">
              <w:t xml:space="preserve"> a jak často</w:t>
            </w:r>
            <w:r w:rsidRPr="007741CA">
              <w:t xml:space="preserve"> </w:t>
            </w:r>
            <w:r w:rsidR="00D42043" w:rsidRPr="007741CA">
              <w:t>přepočítávám požadovanou výši integračního fondu a tím i výši integračních aktiv?</w:t>
            </w:r>
          </w:p>
        </w:tc>
        <w:tc>
          <w:tcPr>
            <w:tcW w:w="7631" w:type="dxa"/>
          </w:tcPr>
          <w:p w14:paraId="2B6A035A" w14:textId="77777777" w:rsidR="00E03570" w:rsidRDefault="0045172C" w:rsidP="00D42043">
            <w:r>
              <w:t>Výše integračního fondu se stanovuje k datu, ke kterému se sestavuje účetní závěrka a tato výše je pak platná po celou dobu násled</w:t>
            </w:r>
            <w:r w:rsidR="00E03570">
              <w:t>ujícího</w:t>
            </w:r>
            <w:r>
              <w:t xml:space="preserve"> účetního období. </w:t>
            </w:r>
            <w:r w:rsidR="00E03570">
              <w:t xml:space="preserve">(Pozn.: </w:t>
            </w:r>
            <w:r>
              <w:t xml:space="preserve">Při založení se </w:t>
            </w:r>
            <w:r w:rsidR="00E03570">
              <w:t xml:space="preserve">výše IF </w:t>
            </w:r>
            <w:r>
              <w:t>také stanovuje k</w:t>
            </w:r>
            <w:r w:rsidR="00E03570">
              <w:t xml:space="preserve"> samotnému </w:t>
            </w:r>
            <w:r>
              <w:t>datu vzniku.</w:t>
            </w:r>
            <w:r w:rsidR="00E03570">
              <w:t>)</w:t>
            </w:r>
          </w:p>
          <w:p w14:paraId="3E7142F4" w14:textId="1D0F5D34" w:rsidR="008A4530" w:rsidRPr="00B06D50" w:rsidRDefault="0045172C" w:rsidP="00E03570">
            <w:pPr>
              <w:spacing w:before="120"/>
            </w:pPr>
            <w:r>
              <w:t>Zisk, kterého je v daném roce dosaženo, se považuje z 50% přidělen</w:t>
            </w:r>
            <w:r w:rsidR="0045271E">
              <w:t>ý do IF k datu, ke kterému se sestavuje účetní závěrka, tj. před samotným formálním rozhodnutím valné hromady, protože toto přidělení je stanoveno přímo zákonem.</w:t>
            </w:r>
          </w:p>
        </w:tc>
      </w:tr>
      <w:tr w:rsidR="007741CA" w:rsidRPr="007741CA" w14:paraId="458171B0" w14:textId="77777777" w:rsidTr="002073C2">
        <w:tc>
          <w:tcPr>
            <w:tcW w:w="421" w:type="dxa"/>
          </w:tcPr>
          <w:p w14:paraId="49961C3B" w14:textId="6F91AF91" w:rsidR="008A4530" w:rsidRPr="007741CA" w:rsidRDefault="00D42043" w:rsidP="008A4530">
            <w:r w:rsidRPr="007741CA">
              <w:t>3</w:t>
            </w:r>
          </w:p>
        </w:tc>
        <w:tc>
          <w:tcPr>
            <w:tcW w:w="5835" w:type="dxa"/>
          </w:tcPr>
          <w:p w14:paraId="33FFB9A9" w14:textId="0070EEBA" w:rsidR="008A4530" w:rsidRPr="007741CA" w:rsidRDefault="00D42043" w:rsidP="008A4530">
            <w:r w:rsidRPr="007741CA">
              <w:t>Jakým praktickým způsobem se doporučuje účtovat o integračních aktivech v účetnictví, abych je byl schopen oddělit od ostatních aktiv? Pomocí analytických účtů, středisek, nebo jiným způsobem?</w:t>
            </w:r>
          </w:p>
        </w:tc>
        <w:tc>
          <w:tcPr>
            <w:tcW w:w="7631" w:type="dxa"/>
          </w:tcPr>
          <w:p w14:paraId="74824AEE" w14:textId="35140C5C" w:rsidR="008A4530" w:rsidRPr="00B06D50" w:rsidRDefault="0045271E" w:rsidP="009306CA">
            <w:r>
              <w:t xml:space="preserve">Zákon nestanovuje povinnost účetní evidence integračních aktiv. Tato aktiva lze evidovat i mimoúčetně. Evidování integračních aktiv </w:t>
            </w:r>
            <w:r w:rsidR="00E03570">
              <w:t xml:space="preserve">v účetnictví </w:t>
            </w:r>
            <w:r>
              <w:t>lze samozřejmě doporučit pro jeho průkaznost. Všechny zmíněné způsoby uvedené v dotazu jsou možné a záleží tak na preferenci ISP.</w:t>
            </w:r>
          </w:p>
        </w:tc>
      </w:tr>
      <w:tr w:rsidR="00EB4B37" w:rsidRPr="007741CA" w14:paraId="4AD4514B" w14:textId="77777777" w:rsidTr="002073C2">
        <w:tc>
          <w:tcPr>
            <w:tcW w:w="421" w:type="dxa"/>
          </w:tcPr>
          <w:p w14:paraId="1214D0CD" w14:textId="537B3FA4" w:rsidR="00EB4B37" w:rsidRPr="007741CA" w:rsidRDefault="00EB4B37" w:rsidP="008A4530">
            <w:r>
              <w:t>4</w:t>
            </w:r>
          </w:p>
        </w:tc>
        <w:tc>
          <w:tcPr>
            <w:tcW w:w="5835" w:type="dxa"/>
          </w:tcPr>
          <w:p w14:paraId="2ADE89AC" w14:textId="75B1036C" w:rsidR="00EB4B37" w:rsidRPr="00EB4B37" w:rsidRDefault="00EB4B37" w:rsidP="00EB4B37">
            <w:pPr>
              <w:rPr>
                <w:szCs w:val="22"/>
              </w:rPr>
            </w:pPr>
            <w:r>
              <w:rPr>
                <w:szCs w:val="22"/>
              </w:rPr>
              <w:t>J</w:t>
            </w:r>
            <w:r w:rsidR="00F2435E">
              <w:rPr>
                <w:szCs w:val="22"/>
              </w:rPr>
              <w:t>ak často</w:t>
            </w:r>
            <w:r w:rsidRPr="00EB4B37">
              <w:rPr>
                <w:szCs w:val="22"/>
              </w:rPr>
              <w:t xml:space="preserve"> </w:t>
            </w:r>
            <w:r w:rsidR="00735584">
              <w:rPr>
                <w:szCs w:val="22"/>
              </w:rPr>
              <w:t xml:space="preserve">doplňovat </w:t>
            </w:r>
            <w:r w:rsidRPr="00EB4B37">
              <w:rPr>
                <w:szCs w:val="22"/>
              </w:rPr>
              <w:t>aktiva integračního fondu</w:t>
            </w:r>
            <w:r>
              <w:rPr>
                <w:szCs w:val="22"/>
              </w:rPr>
              <w:t>?</w:t>
            </w:r>
            <w:r w:rsidRPr="00EB4B37">
              <w:rPr>
                <w:szCs w:val="22"/>
              </w:rPr>
              <w:t xml:space="preserve"> </w:t>
            </w:r>
            <w:r>
              <w:rPr>
                <w:szCs w:val="22"/>
              </w:rPr>
              <w:t>Je-li výpočtem určena výše</w:t>
            </w:r>
            <w:r w:rsidRPr="00EB4B37">
              <w:rPr>
                <w:szCs w:val="22"/>
              </w:rPr>
              <w:t xml:space="preserve"> IF, následně </w:t>
            </w:r>
            <w:r>
              <w:rPr>
                <w:szCs w:val="22"/>
              </w:rPr>
              <w:t xml:space="preserve">je potřeba k němu přiřadit </w:t>
            </w:r>
            <w:r w:rsidR="002F6351">
              <w:rPr>
                <w:szCs w:val="22"/>
              </w:rPr>
              <w:t>v </w:t>
            </w:r>
            <w:r>
              <w:rPr>
                <w:szCs w:val="22"/>
              </w:rPr>
              <w:t xml:space="preserve">aktiva </w:t>
            </w:r>
            <w:r w:rsidR="002F6351">
              <w:rPr>
                <w:szCs w:val="22"/>
              </w:rPr>
              <w:t xml:space="preserve">v dané výši </w:t>
            </w:r>
            <w:r w:rsidRPr="00EB4B37">
              <w:rPr>
                <w:szCs w:val="22"/>
              </w:rPr>
              <w:t xml:space="preserve">– např. </w:t>
            </w:r>
            <w:r>
              <w:rPr>
                <w:szCs w:val="22"/>
              </w:rPr>
              <w:t xml:space="preserve">se </w:t>
            </w:r>
            <w:r w:rsidRPr="00EB4B37">
              <w:rPr>
                <w:szCs w:val="22"/>
              </w:rPr>
              <w:t>urč</w:t>
            </w:r>
            <w:r>
              <w:rPr>
                <w:szCs w:val="22"/>
              </w:rPr>
              <w:t>í</w:t>
            </w:r>
            <w:r w:rsidRPr="00EB4B37">
              <w:rPr>
                <w:szCs w:val="22"/>
              </w:rPr>
              <w:t xml:space="preserve">, že část bude tvořena peněžními prostředky na BÚ a část dlouhodobým majetkem. </w:t>
            </w:r>
          </w:p>
          <w:p w14:paraId="365465D9" w14:textId="77777777" w:rsidR="00EB4B37" w:rsidRPr="00EB4B37" w:rsidRDefault="00EB4B37" w:rsidP="00EB4B37">
            <w:pPr>
              <w:rPr>
                <w:szCs w:val="22"/>
              </w:rPr>
            </w:pPr>
          </w:p>
          <w:p w14:paraId="439AFEF2" w14:textId="5A870846" w:rsidR="00EB4B37" w:rsidRPr="00EB4B37" w:rsidRDefault="00EB4B37" w:rsidP="00F2435E">
            <w:pPr>
              <w:rPr>
                <w:szCs w:val="22"/>
              </w:rPr>
            </w:pPr>
            <w:r w:rsidRPr="00EB4B37">
              <w:rPr>
                <w:szCs w:val="22"/>
              </w:rPr>
              <w:t xml:space="preserve">Pokud se však hodnoty aktiv posuzují podle účetních předpisů v netto hodnotě, znamená to, že se v čase </w:t>
            </w:r>
            <w:r w:rsidR="002F6351">
              <w:rPr>
                <w:szCs w:val="22"/>
              </w:rPr>
              <w:t xml:space="preserve">se může </w:t>
            </w:r>
            <w:r w:rsidRPr="00EB4B37">
              <w:rPr>
                <w:szCs w:val="22"/>
              </w:rPr>
              <w:t>rozcházet hodnota integračního fondu a hodnota takto označených</w:t>
            </w:r>
            <w:r w:rsidR="002F6351">
              <w:rPr>
                <w:szCs w:val="22"/>
              </w:rPr>
              <w:t xml:space="preserve"> integračních</w:t>
            </w:r>
            <w:r w:rsidRPr="00EB4B37">
              <w:rPr>
                <w:szCs w:val="22"/>
              </w:rPr>
              <w:t xml:space="preserve"> aktiv, jelikož jejich hodnota se bude snižovat odpisy. Následně </w:t>
            </w:r>
            <w:r w:rsidR="002F6351">
              <w:rPr>
                <w:szCs w:val="22"/>
              </w:rPr>
              <w:t xml:space="preserve">tedy bude potřeba </w:t>
            </w:r>
            <w:r w:rsidRPr="00EB4B37">
              <w:rPr>
                <w:szCs w:val="22"/>
              </w:rPr>
              <w:t>vybrat jiná integrační aktiva, aby</w:t>
            </w:r>
            <w:r w:rsidR="00F2435E">
              <w:rPr>
                <w:szCs w:val="22"/>
              </w:rPr>
              <w:t xml:space="preserve"> se</w:t>
            </w:r>
            <w:r w:rsidRPr="00EB4B37">
              <w:rPr>
                <w:szCs w:val="22"/>
              </w:rPr>
              <w:t xml:space="preserve"> stav </w:t>
            </w:r>
            <w:r w:rsidR="002F6351">
              <w:rPr>
                <w:szCs w:val="22"/>
              </w:rPr>
              <w:t>„</w:t>
            </w:r>
            <w:bookmarkStart w:id="0" w:name="_GoBack"/>
            <w:bookmarkEnd w:id="0"/>
            <w:r w:rsidR="002F6351">
              <w:rPr>
                <w:szCs w:val="22"/>
              </w:rPr>
              <w:t>označených aktiv“</w:t>
            </w:r>
            <w:r w:rsidRPr="00EB4B37">
              <w:rPr>
                <w:szCs w:val="22"/>
              </w:rPr>
              <w:t xml:space="preserve"> doplnil na požadovanou úroveň.</w:t>
            </w:r>
            <w:r w:rsidR="002F6351">
              <w:rPr>
                <w:szCs w:val="22"/>
              </w:rPr>
              <w:t xml:space="preserve"> Je opravdu nutné v důsledku odpisování aktiv neustále mezi označená integrační aktiva doplňovat nová? </w:t>
            </w:r>
          </w:p>
        </w:tc>
        <w:tc>
          <w:tcPr>
            <w:tcW w:w="7631" w:type="dxa"/>
          </w:tcPr>
          <w:p w14:paraId="4F29E78E" w14:textId="3A2C052E" w:rsidR="00EB4B37" w:rsidRDefault="00735584" w:rsidP="00EB4B37">
            <w:r>
              <w:lastRenderedPageBreak/>
              <w:t>Výše i</w:t>
            </w:r>
            <w:r w:rsidR="00EB4B37">
              <w:t>ntegrační</w:t>
            </w:r>
            <w:r>
              <w:t>ho</w:t>
            </w:r>
            <w:r w:rsidR="00EB4B37">
              <w:t xml:space="preserve"> fond</w:t>
            </w:r>
            <w:r>
              <w:t>u</w:t>
            </w:r>
            <w:r w:rsidR="00EB4B37">
              <w:t xml:space="preserve"> </w:t>
            </w:r>
            <w:r>
              <w:t xml:space="preserve">značí </w:t>
            </w:r>
            <w:r w:rsidR="00EB4B37">
              <w:t>minimální výš</w:t>
            </w:r>
            <w:r>
              <w:t>i požadovaných</w:t>
            </w:r>
            <w:r w:rsidR="00EB4B37">
              <w:t xml:space="preserve"> integračních aktiv</w:t>
            </w:r>
            <w:r>
              <w:t>, nikoli jejich přesnou výši</w:t>
            </w:r>
            <w:r w:rsidR="00EB4B37">
              <w:t xml:space="preserve">. </w:t>
            </w:r>
            <w:r>
              <w:t>Ú</w:t>
            </w:r>
            <w:r w:rsidR="00EB4B37">
              <w:t xml:space="preserve">četní jednotka </w:t>
            </w:r>
            <w:r>
              <w:t xml:space="preserve">tedy </w:t>
            </w:r>
            <w:r w:rsidR="00EB4B37">
              <w:t xml:space="preserve">integračních </w:t>
            </w:r>
            <w:r>
              <w:t xml:space="preserve">aktiv </w:t>
            </w:r>
            <w:r w:rsidR="00EB4B37">
              <w:t xml:space="preserve">může mít více (a ISP jich pravděpodobně bude mít více). Potom </w:t>
            </w:r>
            <w:r>
              <w:t xml:space="preserve">se </w:t>
            </w:r>
            <w:r w:rsidR="00EB4B37">
              <w:t xml:space="preserve">snižování hodnoty integračních aktiv </w:t>
            </w:r>
            <w:r>
              <w:t xml:space="preserve">(např. v důsledku odpisování) </w:t>
            </w:r>
            <w:r w:rsidR="00EB4B37">
              <w:t xml:space="preserve">nemusí řešit neustále, ale pouze v momentu, </w:t>
            </w:r>
            <w:r w:rsidR="00EB4B37">
              <w:lastRenderedPageBreak/>
              <w:t xml:space="preserve">kdy jejich účetní hodnota klesne pod </w:t>
            </w:r>
            <w:r>
              <w:t xml:space="preserve">výši </w:t>
            </w:r>
            <w:r w:rsidR="00EB4B37">
              <w:t>integrační</w:t>
            </w:r>
            <w:r>
              <w:t>ho</w:t>
            </w:r>
            <w:r w:rsidR="00EB4B37">
              <w:t xml:space="preserve"> fond</w:t>
            </w:r>
            <w:r>
              <w:t>u</w:t>
            </w:r>
            <w:r w:rsidR="00EB4B37">
              <w:t>. Jak také bylo uvedeno, takové porovnání se dělá jen na základě účetní závěrky, tj. jednou ročně.</w:t>
            </w:r>
          </w:p>
          <w:p w14:paraId="15A50A7B" w14:textId="77777777" w:rsidR="00EB4B37" w:rsidRDefault="00EB4B37" w:rsidP="00EB4B37">
            <w:r>
              <w:t xml:space="preserve"> </w:t>
            </w:r>
          </w:p>
          <w:p w14:paraId="2C3365C7" w14:textId="778FC6A1" w:rsidR="00EB4B37" w:rsidRPr="0045271E" w:rsidRDefault="00EB4B37" w:rsidP="00EB4B37">
            <w:r>
              <w:t>Ještě jinak řečeno, účetní jednotka nemusí mít stejnou výši integračního fondu a integračních aktiv. Pokud těchto aktiv bude mít více, vyhne se častému dodatečnému „přiřazování“ aktiv mezi integrační (přitom řada aktiv jsou integrační ze své podstaty, přiřazování je potřeba např. u peněz apod., které mohou mít různý účel).</w:t>
            </w:r>
          </w:p>
        </w:tc>
      </w:tr>
      <w:tr w:rsidR="00D42043" w:rsidRPr="007741CA" w14:paraId="102347E6" w14:textId="77777777" w:rsidTr="002073C2">
        <w:tc>
          <w:tcPr>
            <w:tcW w:w="421" w:type="dxa"/>
          </w:tcPr>
          <w:p w14:paraId="0AB54BEE" w14:textId="1BD3A66C" w:rsidR="00D42043" w:rsidRPr="007741CA" w:rsidRDefault="00EB4B37" w:rsidP="008A4530">
            <w:r>
              <w:lastRenderedPageBreak/>
              <w:t>5</w:t>
            </w:r>
          </w:p>
        </w:tc>
        <w:tc>
          <w:tcPr>
            <w:tcW w:w="5835" w:type="dxa"/>
          </w:tcPr>
          <w:p w14:paraId="682EA780" w14:textId="4BAC9379" w:rsidR="00D42043" w:rsidRPr="007741CA" w:rsidRDefault="00D42043" w:rsidP="008A4530">
            <w:r w:rsidRPr="007741CA">
              <w:t>Jsou nějaké povinné informace, související s integračním sociálním podnikem, které se musí zveřejňovat v příloze v účetní závěrce?</w:t>
            </w:r>
          </w:p>
        </w:tc>
        <w:tc>
          <w:tcPr>
            <w:tcW w:w="7631" w:type="dxa"/>
          </w:tcPr>
          <w:p w14:paraId="60DCC29F" w14:textId="1E8D8257" w:rsidR="00D42043" w:rsidRPr="0045271E" w:rsidRDefault="0045271E">
            <w:r w:rsidRPr="0045271E">
              <w:t>Účetní předpisy neobsahují žádná zvláštní ustanovení pro ISP. ISP tedy dodržuje obecné požadavky na obsah přílohy.</w:t>
            </w:r>
          </w:p>
        </w:tc>
      </w:tr>
      <w:tr w:rsidR="007741CA" w:rsidRPr="007741CA" w14:paraId="1AAD6BD1" w14:textId="77777777" w:rsidTr="002073C2">
        <w:tc>
          <w:tcPr>
            <w:tcW w:w="421" w:type="dxa"/>
          </w:tcPr>
          <w:p w14:paraId="2570B301" w14:textId="3620C2EF" w:rsidR="008A4530" w:rsidRPr="007741CA" w:rsidRDefault="00EB4B37" w:rsidP="008A4530">
            <w:r>
              <w:t>6</w:t>
            </w:r>
          </w:p>
        </w:tc>
        <w:tc>
          <w:tcPr>
            <w:tcW w:w="5835" w:type="dxa"/>
          </w:tcPr>
          <w:p w14:paraId="11F35611" w14:textId="2CD53093" w:rsidR="008A4530" w:rsidRPr="007741CA" w:rsidRDefault="008A4530" w:rsidP="008A4530">
            <w:pPr>
              <w:rPr>
                <w:highlight w:val="green"/>
              </w:rPr>
            </w:pPr>
            <w:r w:rsidRPr="007741CA">
              <w:t xml:space="preserve">Pokud budu mít firma v prvních 3 letech účetní ztrátu, znamená to tedy, že i přesto musí tvořit </w:t>
            </w:r>
            <w:r w:rsidR="00D42043" w:rsidRPr="007741CA">
              <w:t xml:space="preserve">integrační </w:t>
            </w:r>
            <w:r w:rsidRPr="007741CA">
              <w:t>fond, protože v prvních 3 letech je to počítáno z výše vlastního kapitálu, a nikoliv ze zisku?</w:t>
            </w:r>
          </w:p>
        </w:tc>
        <w:tc>
          <w:tcPr>
            <w:tcW w:w="7631" w:type="dxa"/>
          </w:tcPr>
          <w:p w14:paraId="7D836FA3" w14:textId="5D2AF1C6" w:rsidR="008A4530" w:rsidRDefault="0045271E" w:rsidP="00352671">
            <w:r w:rsidRPr="0045271E">
              <w:t>Ano</w:t>
            </w:r>
            <w:r>
              <w:t>. Jinými slovy to znamená, že i taková firma musí mít integrační aktiva v požadované výši.</w:t>
            </w:r>
          </w:p>
          <w:p w14:paraId="3F397795" w14:textId="31345D69" w:rsidR="00101B01" w:rsidRPr="0045271E" w:rsidRDefault="00101B01" w:rsidP="00E9714B">
            <w:pPr>
              <w:spacing w:before="120"/>
            </w:pPr>
            <w:r>
              <w:t>Požadavky na takový fond jsou ale „měkčí“ vzhledem k § 17 ods.t 4 (takto vytvořený fond lze zrušit, pokud dojde k jeho dostatečné tvorbě ze zisku) a k § 19 odst. 3 (integrační aktiva odpovídající takové části integračního fondu se nepředávají dál</w:t>
            </w:r>
            <w:r w:rsidR="00E9714B">
              <w:t xml:space="preserve"> při ztrátě statusu</w:t>
            </w:r>
            <w:r>
              <w:t>).</w:t>
            </w:r>
          </w:p>
        </w:tc>
      </w:tr>
      <w:tr w:rsidR="007741CA" w:rsidRPr="007741CA" w14:paraId="774DF025" w14:textId="77777777" w:rsidTr="002073C2">
        <w:tc>
          <w:tcPr>
            <w:tcW w:w="421" w:type="dxa"/>
          </w:tcPr>
          <w:p w14:paraId="7F9A13CA" w14:textId="01AF31D6" w:rsidR="008A4530" w:rsidRPr="007741CA" w:rsidRDefault="00EB4B37">
            <w:r>
              <w:t>7</w:t>
            </w:r>
          </w:p>
        </w:tc>
        <w:tc>
          <w:tcPr>
            <w:tcW w:w="5835" w:type="dxa"/>
          </w:tcPr>
          <w:p w14:paraId="0A0DFEDB" w14:textId="60A1BA58" w:rsidR="008A4530" w:rsidRPr="007741CA" w:rsidRDefault="00D42043">
            <w:pPr>
              <w:rPr>
                <w:highlight w:val="green"/>
              </w:rPr>
            </w:pPr>
            <w:r w:rsidRPr="007741CA">
              <w:t xml:space="preserve">Jaký </w:t>
            </w:r>
            <w:r w:rsidR="007741CA" w:rsidRPr="007741CA">
              <w:t>správní</w:t>
            </w:r>
            <w:r w:rsidRPr="007741CA">
              <w:t xml:space="preserve"> orgán kontroluje hospodaření a </w:t>
            </w:r>
            <w:r w:rsidR="007741CA" w:rsidRPr="007741CA">
              <w:t>s</w:t>
            </w:r>
            <w:r w:rsidRPr="007741CA">
              <w:t>právu integračního sociálního podniku a může nám v případě nesplnění některých povinností udělit sankce? Jaké ty sankce případně jsou?</w:t>
            </w:r>
          </w:p>
        </w:tc>
        <w:tc>
          <w:tcPr>
            <w:tcW w:w="7631" w:type="dxa"/>
          </w:tcPr>
          <w:p w14:paraId="5D8B21CD" w14:textId="5215F082" w:rsidR="00E9714B" w:rsidRPr="00A6091B" w:rsidRDefault="00E9714B" w:rsidP="00352671">
            <w:r w:rsidRPr="00A6091B">
              <w:t>Kontroly provádí MPSV (viz § 4 odst. 1, § 34)</w:t>
            </w:r>
          </w:p>
          <w:p w14:paraId="55F6C770" w14:textId="631D9006" w:rsidR="008A4530" w:rsidRPr="00A6091B" w:rsidRDefault="00946A50" w:rsidP="00E03570">
            <w:pPr>
              <w:spacing w:before="120"/>
            </w:pPr>
            <w:r w:rsidRPr="00A6091B">
              <w:t>„</w:t>
            </w:r>
            <w:r w:rsidR="00E9714B" w:rsidRPr="00A6091B">
              <w:t>Sankcí</w:t>
            </w:r>
            <w:r w:rsidRPr="00A6091B">
              <w:t>“</w:t>
            </w:r>
            <w:r w:rsidR="00E9714B" w:rsidRPr="00A6091B">
              <w:t xml:space="preserve"> je ztráta statusu ISP</w:t>
            </w:r>
            <w:r w:rsidRPr="00A6091B">
              <w:t xml:space="preserve"> (§ 11 odst. 1 písm. b) bod 6)</w:t>
            </w:r>
            <w:r w:rsidR="00E9714B" w:rsidRPr="00A6091B">
              <w:t>. Jeho důsledky jsou mj. popsány v § 19.</w:t>
            </w:r>
          </w:p>
        </w:tc>
      </w:tr>
      <w:tr w:rsidR="007741CA" w:rsidRPr="007741CA" w14:paraId="19FB2E35" w14:textId="77777777" w:rsidTr="002073C2">
        <w:tc>
          <w:tcPr>
            <w:tcW w:w="421" w:type="dxa"/>
          </w:tcPr>
          <w:p w14:paraId="0186DA59" w14:textId="2DAD4955" w:rsidR="00D42043" w:rsidRPr="007741CA" w:rsidRDefault="00EB4B37" w:rsidP="00D42043">
            <w:r>
              <w:t>8</w:t>
            </w:r>
          </w:p>
        </w:tc>
        <w:tc>
          <w:tcPr>
            <w:tcW w:w="5835" w:type="dxa"/>
          </w:tcPr>
          <w:p w14:paraId="0402C131" w14:textId="34966123" w:rsidR="00D42043" w:rsidRPr="007741CA" w:rsidRDefault="00D42043" w:rsidP="00D42043">
            <w:pPr>
              <w:rPr>
                <w:highlight w:val="green"/>
              </w:rPr>
            </w:pPr>
            <w:r w:rsidRPr="007741CA">
              <w:t xml:space="preserve">Pokud je integrační fond tvořen fyzickým aktivem, které se účetně odepisuje, jakým </w:t>
            </w:r>
            <w:r w:rsidR="007741CA" w:rsidRPr="007741CA">
              <w:t xml:space="preserve">způsobem (mám na mysli konkrétní postup zaúčtování) dochází k přídělu těchto spotřebovaných odpisů do aktiv integračního fondu?  </w:t>
            </w:r>
          </w:p>
        </w:tc>
        <w:tc>
          <w:tcPr>
            <w:tcW w:w="7631" w:type="dxa"/>
          </w:tcPr>
          <w:p w14:paraId="30CF18E3" w14:textId="77777777" w:rsidR="00D42043" w:rsidRDefault="00A6091B" w:rsidP="00D42043">
            <w:r w:rsidRPr="00A6091B">
              <w:t>K takovému přídělu nedochází, takto integrační fond nefunguje.</w:t>
            </w:r>
          </w:p>
          <w:p w14:paraId="78BA311D" w14:textId="0C255A17" w:rsidR="00A6091B" w:rsidRPr="00A6091B" w:rsidRDefault="00A6091B" w:rsidP="00EB4B37">
            <w:pPr>
              <w:spacing w:before="120"/>
            </w:pPr>
            <w:r>
              <w:t>Integrační fond je označením pro minimální výši integračních aktiv. Postupné odepisování nebo vyřazování integračních aktiv nemá na integrační fond žádný vliv. Pokud hodnota integračních aktiv klesne pod výši integračního fondu, musí být za integrační aktiva označena (v souladu s jejich vymezením v § 18 odst. 1</w:t>
            </w:r>
            <w:r w:rsidR="00E03570">
              <w:t xml:space="preserve"> – viz dotaz č. </w:t>
            </w:r>
            <w:r w:rsidR="00EB4B37">
              <w:t>10</w:t>
            </w:r>
            <w:r>
              <w:t>) jiná aktiva.</w:t>
            </w:r>
          </w:p>
        </w:tc>
      </w:tr>
      <w:tr w:rsidR="0022092B" w14:paraId="537F7F7F" w14:textId="77777777" w:rsidTr="0022092B">
        <w:tc>
          <w:tcPr>
            <w:tcW w:w="421" w:type="dxa"/>
          </w:tcPr>
          <w:p w14:paraId="6861D6F1" w14:textId="29C0235C" w:rsidR="0022092B" w:rsidRPr="008A4530" w:rsidRDefault="00EB4B37" w:rsidP="001200B7">
            <w:r>
              <w:lastRenderedPageBreak/>
              <w:t>9</w:t>
            </w:r>
          </w:p>
        </w:tc>
        <w:tc>
          <w:tcPr>
            <w:tcW w:w="5835" w:type="dxa"/>
          </w:tcPr>
          <w:p w14:paraId="0C7FD16B" w14:textId="77777777" w:rsidR="0022092B" w:rsidRPr="008A4530" w:rsidRDefault="0022092B" w:rsidP="001200B7">
            <w:r w:rsidRPr="008A4530">
              <w:t>Pokud je integrační fond tvořen nějakým fyzickým majetkem (auto, stroje, zařízení), jakým konkrétním způsobem se určuje jeho účetní hodnota v čase?</w:t>
            </w:r>
          </w:p>
        </w:tc>
        <w:tc>
          <w:tcPr>
            <w:tcW w:w="7631" w:type="dxa"/>
          </w:tcPr>
          <w:p w14:paraId="1E919EA2" w14:textId="31A9AA32" w:rsidR="0022092B" w:rsidRPr="00A6091B" w:rsidRDefault="00DE20A4" w:rsidP="001200B7">
            <w:r>
              <w:t>Účetní hodnota integračních aktiv se určuje na základě účetních pravidel jako u jakýchkoli jiných aktiv. Pokud jde o odpisovaný dlouhodobý majetek, ISP určí odpisový plán podle účetních předpisů, tj. zejména s ohledem na očekávanou dobu používání takového majetku.</w:t>
            </w:r>
            <w:r w:rsidR="00E03570">
              <w:t xml:space="preserve"> Odpisový plán také podléhá následné aktualizaci, změní-li se okolnosti, </w:t>
            </w:r>
            <w:r w:rsidR="00F95BDC">
              <w:t>ze kterých se při jeho určení vycházelo.</w:t>
            </w:r>
          </w:p>
        </w:tc>
      </w:tr>
      <w:tr w:rsidR="0022092B" w14:paraId="64F1B8C7" w14:textId="77777777" w:rsidTr="0022092B">
        <w:tc>
          <w:tcPr>
            <w:tcW w:w="421" w:type="dxa"/>
          </w:tcPr>
          <w:p w14:paraId="5D4B1263" w14:textId="1D8482BD" w:rsidR="0022092B" w:rsidRPr="008A4530" w:rsidRDefault="00EB4B37" w:rsidP="001200B7">
            <w:r>
              <w:t>10</w:t>
            </w:r>
          </w:p>
        </w:tc>
        <w:tc>
          <w:tcPr>
            <w:tcW w:w="5835" w:type="dxa"/>
          </w:tcPr>
          <w:p w14:paraId="240D4558" w14:textId="33AC9398" w:rsidR="0022092B" w:rsidRPr="008A4530" w:rsidRDefault="0022092B" w:rsidP="001200B7">
            <w:r>
              <w:t xml:space="preserve">Může být </w:t>
            </w:r>
            <w:r w:rsidRPr="008A4530">
              <w:t>integrační fond tvořen nějakým nemovitým majetkem (byt, budova zázemí firmy)</w:t>
            </w:r>
            <w:r>
              <w:t>? Pokud ano</w:t>
            </w:r>
            <w:r w:rsidRPr="008A4530">
              <w:t>, jakým konkrétním způsobem se určuje jeho účetní hodnota v čase?</w:t>
            </w:r>
          </w:p>
        </w:tc>
        <w:tc>
          <w:tcPr>
            <w:tcW w:w="7631" w:type="dxa"/>
          </w:tcPr>
          <w:p w14:paraId="61A77424" w14:textId="5E706F68" w:rsidR="0022092B" w:rsidRDefault="00DE20A4" w:rsidP="001200B7">
            <w:r>
              <w:t>Ano, pokud takový majetek splní požadavek § 18 odst. 1</w:t>
            </w:r>
            <w:r w:rsidR="00F95BDC">
              <w:t xml:space="preserve"> na </w:t>
            </w:r>
            <w:r>
              <w:t>integrační aktiv</w:t>
            </w:r>
            <w:r w:rsidR="00F95BDC">
              <w:t xml:space="preserve">a, kterými </w:t>
            </w:r>
            <w:r>
              <w:t>jsou „</w:t>
            </w:r>
            <w:r w:rsidRPr="00DE20A4">
              <w:t>aktiva určená pro činnost posilování sociálních kompetencí zaměstnanců, kteří jsou osobami se specifickými potřebami, a způsobu poskytování podpory podle § 2 odst. 2 až 4</w:t>
            </w:r>
            <w:r>
              <w:t>“.</w:t>
            </w:r>
          </w:p>
          <w:p w14:paraId="2C2A1198" w14:textId="0AEC7A5C" w:rsidR="00DE20A4" w:rsidRDefault="00DE20A4" w:rsidP="00EB4B37">
            <w:pPr>
              <w:spacing w:before="120"/>
            </w:pPr>
            <w:r>
              <w:t xml:space="preserve">Pro určení účetní hodnoty platí totéž, co bylo uvedeno k dotazu č. </w:t>
            </w:r>
            <w:r w:rsidR="00EB4B37">
              <w:t>9</w:t>
            </w:r>
            <w:r>
              <w:t>.</w:t>
            </w:r>
          </w:p>
        </w:tc>
      </w:tr>
      <w:tr w:rsidR="0022092B" w14:paraId="037D1E49" w14:textId="77777777" w:rsidTr="0022092B">
        <w:tc>
          <w:tcPr>
            <w:tcW w:w="421" w:type="dxa"/>
          </w:tcPr>
          <w:p w14:paraId="360288D1" w14:textId="13BDF864" w:rsidR="0022092B" w:rsidRPr="008A4530" w:rsidRDefault="001B2602" w:rsidP="00EB4B37">
            <w:r>
              <w:t>1</w:t>
            </w:r>
            <w:r w:rsidR="00EB4B37">
              <w:t>1</w:t>
            </w:r>
          </w:p>
        </w:tc>
        <w:tc>
          <w:tcPr>
            <w:tcW w:w="5835" w:type="dxa"/>
          </w:tcPr>
          <w:p w14:paraId="1A477ABE" w14:textId="5B8D5BBD" w:rsidR="0022092B" w:rsidRPr="008A4530" w:rsidRDefault="0022092B" w:rsidP="001200B7">
            <w:r w:rsidRPr="008A4530">
              <w:t xml:space="preserve">Pokud bude mít někdy firma jako hospodářský výsledek od </w:t>
            </w:r>
            <w:r w:rsidR="00377A8B">
              <w:t xml:space="preserve">čtvrtého </w:t>
            </w:r>
            <w:r w:rsidRPr="008A4530">
              <w:t>roku dále nulu, nepřiděluje se do integračního fondu nic?</w:t>
            </w:r>
          </w:p>
        </w:tc>
        <w:tc>
          <w:tcPr>
            <w:tcW w:w="7631" w:type="dxa"/>
          </w:tcPr>
          <w:p w14:paraId="433C8312" w14:textId="20483052" w:rsidR="0022092B" w:rsidRDefault="009207D5" w:rsidP="001200B7">
            <w:r>
              <w:t xml:space="preserve">Ano, nic, za podmínky, že nedojde ke zvýšení VK z jiného důvodu. Pak by bylo nutné navýšení, aby byl splněn požadavek na výši IF podle § 17 odst. 1 písm. c) (tj. 15% z VK). </w:t>
            </w:r>
          </w:p>
        </w:tc>
      </w:tr>
      <w:tr w:rsidR="00D73E35" w14:paraId="5044182B" w14:textId="77777777" w:rsidTr="00D73E35">
        <w:tc>
          <w:tcPr>
            <w:tcW w:w="421" w:type="dxa"/>
          </w:tcPr>
          <w:p w14:paraId="73A940AD" w14:textId="3F7C43D7" w:rsidR="00D73E35" w:rsidRPr="008A4530" w:rsidRDefault="001B2602" w:rsidP="00EB4B37">
            <w:r>
              <w:t>1</w:t>
            </w:r>
            <w:r w:rsidR="00EB4B37">
              <w:t>2</w:t>
            </w:r>
          </w:p>
        </w:tc>
        <w:tc>
          <w:tcPr>
            <w:tcW w:w="5835" w:type="dxa"/>
          </w:tcPr>
          <w:p w14:paraId="3F23281B" w14:textId="156B5190" w:rsidR="00D73E35" w:rsidRPr="008A4530" w:rsidRDefault="00D73E35" w:rsidP="001200B7">
            <w:r w:rsidRPr="008A4530">
              <w:t xml:space="preserve">Pokud </w:t>
            </w:r>
            <w:r>
              <w:t xml:space="preserve">by měl ISP formálně přestat být ISP, jak přesně se bude vypočítávat, jakou částku má odevzdat jinému podniku či státu? Předpokládejme, že společnost má 10 mil. Kč základní kapitál, během prvních 5 let existence bude 3 roky ve ztrátě, 1 rok na nule a 1 rok bude mít zisk 100.000 Kč. </w:t>
            </w:r>
            <w:r w:rsidR="006D7921">
              <w:t xml:space="preserve">Prosíme o </w:t>
            </w:r>
            <w:r w:rsidR="00403E1C">
              <w:t xml:space="preserve">metodiku konkrétní </w:t>
            </w:r>
            <w:r w:rsidR="006D7921">
              <w:t>kalkulace</w:t>
            </w:r>
            <w:r w:rsidR="00403E1C">
              <w:t xml:space="preserve"> </w:t>
            </w:r>
            <w:r w:rsidR="00D53258">
              <w:t xml:space="preserve">tohoto </w:t>
            </w:r>
            <w:r w:rsidR="00403E1C">
              <w:t>případ</w:t>
            </w:r>
            <w:r w:rsidR="00D53258">
              <w:t>u</w:t>
            </w:r>
            <w:r w:rsidR="006D7921">
              <w:t>.</w:t>
            </w:r>
            <w:r w:rsidR="004366D8">
              <w:t xml:space="preserve"> </w:t>
            </w:r>
          </w:p>
        </w:tc>
        <w:tc>
          <w:tcPr>
            <w:tcW w:w="7631" w:type="dxa"/>
          </w:tcPr>
          <w:p w14:paraId="17563AB7" w14:textId="77777777" w:rsidR="00D73E35" w:rsidRDefault="009207D5" w:rsidP="001200B7">
            <w:r>
              <w:t>V takovém případě půjde o odevzdání částky ve výši 50% z dosaženého zisku v 5. roce, tj. 50 tis. Kč. Důvodem je to, že příděl do IF musí být proveden ze zisku BO, tedy ještě před tím, než dojde k jeho případné kompenzaci se ztrátami minulých let.</w:t>
            </w:r>
          </w:p>
          <w:p w14:paraId="42C66601" w14:textId="32269673" w:rsidR="00AA48B9" w:rsidRDefault="00AA48B9" w:rsidP="0000203B">
            <w:pPr>
              <w:spacing w:before="120"/>
            </w:pPr>
            <w:r>
              <w:t>IF, který byl vytvořen z jiných částí VK (zde dedikací části ZK) se „neodevzdává“ – viz § 19 odst. 3.</w:t>
            </w:r>
          </w:p>
        </w:tc>
      </w:tr>
    </w:tbl>
    <w:p w14:paraId="685E3758" w14:textId="77777777" w:rsidR="00B625E8" w:rsidRDefault="00B625E8"/>
    <w:sectPr w:rsidR="00B625E8" w:rsidSect="002073C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1A04"/>
    <w:multiLevelType w:val="multilevel"/>
    <w:tmpl w:val="7312F2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264AB2"/>
    <w:multiLevelType w:val="multilevel"/>
    <w:tmpl w:val="7312F2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9F1A05"/>
    <w:multiLevelType w:val="multilevel"/>
    <w:tmpl w:val="7312F2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080649"/>
    <w:multiLevelType w:val="multilevel"/>
    <w:tmpl w:val="9A24E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39"/>
    <w:rsid w:val="00001330"/>
    <w:rsid w:val="0000203B"/>
    <w:rsid w:val="000810CA"/>
    <w:rsid w:val="00101B01"/>
    <w:rsid w:val="00115352"/>
    <w:rsid w:val="001328A3"/>
    <w:rsid w:val="001A42B7"/>
    <w:rsid w:val="001B2602"/>
    <w:rsid w:val="001F3B31"/>
    <w:rsid w:val="002073C2"/>
    <w:rsid w:val="0022092B"/>
    <w:rsid w:val="00235186"/>
    <w:rsid w:val="00260B22"/>
    <w:rsid w:val="00275B7A"/>
    <w:rsid w:val="002F6351"/>
    <w:rsid w:val="00315441"/>
    <w:rsid w:val="00352671"/>
    <w:rsid w:val="00371796"/>
    <w:rsid w:val="00377A8B"/>
    <w:rsid w:val="00390E34"/>
    <w:rsid w:val="00403E1C"/>
    <w:rsid w:val="00407ED0"/>
    <w:rsid w:val="00435432"/>
    <w:rsid w:val="004366D8"/>
    <w:rsid w:val="0045172C"/>
    <w:rsid w:val="00452672"/>
    <w:rsid w:val="0045271E"/>
    <w:rsid w:val="0049185C"/>
    <w:rsid w:val="004F41DD"/>
    <w:rsid w:val="005C7651"/>
    <w:rsid w:val="00601C81"/>
    <w:rsid w:val="006D7921"/>
    <w:rsid w:val="007263BA"/>
    <w:rsid w:val="00735584"/>
    <w:rsid w:val="00745350"/>
    <w:rsid w:val="00747BCD"/>
    <w:rsid w:val="007741CA"/>
    <w:rsid w:val="007C63FC"/>
    <w:rsid w:val="007E5B39"/>
    <w:rsid w:val="00810428"/>
    <w:rsid w:val="008A4530"/>
    <w:rsid w:val="008B5312"/>
    <w:rsid w:val="008C07E1"/>
    <w:rsid w:val="009026C4"/>
    <w:rsid w:val="009207D5"/>
    <w:rsid w:val="009306CA"/>
    <w:rsid w:val="009331C8"/>
    <w:rsid w:val="009416C9"/>
    <w:rsid w:val="00946A50"/>
    <w:rsid w:val="009E5FAE"/>
    <w:rsid w:val="00A0502F"/>
    <w:rsid w:val="00A54DEC"/>
    <w:rsid w:val="00A6091B"/>
    <w:rsid w:val="00AA48B9"/>
    <w:rsid w:val="00B06D50"/>
    <w:rsid w:val="00B625E8"/>
    <w:rsid w:val="00B64394"/>
    <w:rsid w:val="00C937FD"/>
    <w:rsid w:val="00C974F2"/>
    <w:rsid w:val="00D325A9"/>
    <w:rsid w:val="00D42043"/>
    <w:rsid w:val="00D4653C"/>
    <w:rsid w:val="00D5178B"/>
    <w:rsid w:val="00D53258"/>
    <w:rsid w:val="00D73E35"/>
    <w:rsid w:val="00D85209"/>
    <w:rsid w:val="00DE20A4"/>
    <w:rsid w:val="00E03570"/>
    <w:rsid w:val="00E301F6"/>
    <w:rsid w:val="00E65743"/>
    <w:rsid w:val="00E905BF"/>
    <w:rsid w:val="00E9714B"/>
    <w:rsid w:val="00EB4B37"/>
    <w:rsid w:val="00ED7E07"/>
    <w:rsid w:val="00F2435E"/>
    <w:rsid w:val="00F75470"/>
    <w:rsid w:val="00F95B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D7F3"/>
  <w15:chartTrackingRefBased/>
  <w15:docId w15:val="{B98AA1C5-10D0-466D-8816-01350BAE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E5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E5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5B3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5B3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E5B3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5B3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5B3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5B3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5B3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5B3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E5B3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5B3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5B3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E5B3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5B3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5B3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5B3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5B39"/>
    <w:rPr>
      <w:rFonts w:eastAsiaTheme="majorEastAsia" w:cstheme="majorBidi"/>
      <w:color w:val="272727" w:themeColor="text1" w:themeTint="D8"/>
    </w:rPr>
  </w:style>
  <w:style w:type="paragraph" w:styleId="Nzev">
    <w:name w:val="Title"/>
    <w:basedOn w:val="Normln"/>
    <w:next w:val="Normln"/>
    <w:link w:val="NzevChar"/>
    <w:uiPriority w:val="10"/>
    <w:qFormat/>
    <w:rsid w:val="007E5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5B3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5B3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5B3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5B39"/>
    <w:pPr>
      <w:spacing w:before="160"/>
      <w:jc w:val="center"/>
    </w:pPr>
    <w:rPr>
      <w:i/>
      <w:iCs/>
      <w:color w:val="404040" w:themeColor="text1" w:themeTint="BF"/>
    </w:rPr>
  </w:style>
  <w:style w:type="character" w:customStyle="1" w:styleId="CittChar">
    <w:name w:val="Citát Char"/>
    <w:basedOn w:val="Standardnpsmoodstavce"/>
    <w:link w:val="Citt"/>
    <w:uiPriority w:val="29"/>
    <w:rsid w:val="007E5B39"/>
    <w:rPr>
      <w:i/>
      <w:iCs/>
      <w:color w:val="404040" w:themeColor="text1" w:themeTint="BF"/>
    </w:rPr>
  </w:style>
  <w:style w:type="paragraph" w:styleId="Odstavecseseznamem">
    <w:name w:val="List Paragraph"/>
    <w:basedOn w:val="Normln"/>
    <w:uiPriority w:val="34"/>
    <w:qFormat/>
    <w:rsid w:val="007E5B39"/>
    <w:pPr>
      <w:ind w:left="720"/>
      <w:contextualSpacing/>
    </w:pPr>
  </w:style>
  <w:style w:type="character" w:styleId="Zdraznnintenzivn">
    <w:name w:val="Intense Emphasis"/>
    <w:basedOn w:val="Standardnpsmoodstavce"/>
    <w:uiPriority w:val="21"/>
    <w:qFormat/>
    <w:rsid w:val="007E5B39"/>
    <w:rPr>
      <w:i/>
      <w:iCs/>
      <w:color w:val="0F4761" w:themeColor="accent1" w:themeShade="BF"/>
    </w:rPr>
  </w:style>
  <w:style w:type="paragraph" w:styleId="Vrazncitt">
    <w:name w:val="Intense Quote"/>
    <w:basedOn w:val="Normln"/>
    <w:next w:val="Normln"/>
    <w:link w:val="VrazncittChar"/>
    <w:uiPriority w:val="30"/>
    <w:qFormat/>
    <w:rsid w:val="007E5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5B39"/>
    <w:rPr>
      <w:i/>
      <w:iCs/>
      <w:color w:val="0F4761" w:themeColor="accent1" w:themeShade="BF"/>
    </w:rPr>
  </w:style>
  <w:style w:type="character" w:styleId="Odkazintenzivn">
    <w:name w:val="Intense Reference"/>
    <w:basedOn w:val="Standardnpsmoodstavce"/>
    <w:uiPriority w:val="32"/>
    <w:qFormat/>
    <w:rsid w:val="007E5B39"/>
    <w:rPr>
      <w:b/>
      <w:bCs/>
      <w:smallCaps/>
      <w:color w:val="0F4761" w:themeColor="accent1" w:themeShade="BF"/>
      <w:spacing w:val="5"/>
    </w:rPr>
  </w:style>
  <w:style w:type="table" w:styleId="Mkatabulky">
    <w:name w:val="Table Grid"/>
    <w:basedOn w:val="Normlntabulka"/>
    <w:uiPriority w:val="39"/>
    <w:rsid w:val="008A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54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5470"/>
    <w:rPr>
      <w:rFonts w:ascii="Segoe UI" w:hAnsi="Segoe UI" w:cs="Segoe UI"/>
      <w:sz w:val="18"/>
      <w:szCs w:val="18"/>
    </w:rPr>
  </w:style>
  <w:style w:type="character" w:styleId="Odkaznakoment">
    <w:name w:val="annotation reference"/>
    <w:basedOn w:val="Standardnpsmoodstavce"/>
    <w:uiPriority w:val="99"/>
    <w:semiHidden/>
    <w:unhideWhenUsed/>
    <w:rsid w:val="00390E34"/>
    <w:rPr>
      <w:sz w:val="16"/>
      <w:szCs w:val="16"/>
    </w:rPr>
  </w:style>
  <w:style w:type="paragraph" w:styleId="Textkomente">
    <w:name w:val="annotation text"/>
    <w:basedOn w:val="Normln"/>
    <w:link w:val="TextkomenteChar"/>
    <w:uiPriority w:val="99"/>
    <w:unhideWhenUsed/>
    <w:rsid w:val="00390E34"/>
    <w:pPr>
      <w:spacing w:line="240" w:lineRule="auto"/>
    </w:pPr>
    <w:rPr>
      <w:sz w:val="20"/>
      <w:szCs w:val="20"/>
    </w:rPr>
  </w:style>
  <w:style w:type="character" w:customStyle="1" w:styleId="TextkomenteChar">
    <w:name w:val="Text komentáře Char"/>
    <w:basedOn w:val="Standardnpsmoodstavce"/>
    <w:link w:val="Textkomente"/>
    <w:uiPriority w:val="99"/>
    <w:rsid w:val="00390E34"/>
    <w:rPr>
      <w:sz w:val="20"/>
      <w:szCs w:val="20"/>
    </w:rPr>
  </w:style>
  <w:style w:type="paragraph" w:styleId="Pedmtkomente">
    <w:name w:val="annotation subject"/>
    <w:basedOn w:val="Textkomente"/>
    <w:next w:val="Textkomente"/>
    <w:link w:val="PedmtkomenteChar"/>
    <w:uiPriority w:val="99"/>
    <w:semiHidden/>
    <w:unhideWhenUsed/>
    <w:rsid w:val="00390E34"/>
    <w:rPr>
      <w:b/>
      <w:bCs/>
    </w:rPr>
  </w:style>
  <w:style w:type="character" w:customStyle="1" w:styleId="PedmtkomenteChar">
    <w:name w:val="Předmět komentáře Char"/>
    <w:basedOn w:val="TextkomenteChar"/>
    <w:link w:val="Pedmtkomente"/>
    <w:uiPriority w:val="99"/>
    <w:semiHidden/>
    <w:rsid w:val="00390E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61745">
      <w:bodyDiv w:val="1"/>
      <w:marLeft w:val="0"/>
      <w:marRight w:val="0"/>
      <w:marTop w:val="0"/>
      <w:marBottom w:val="0"/>
      <w:divBdr>
        <w:top w:val="none" w:sz="0" w:space="0" w:color="auto"/>
        <w:left w:val="none" w:sz="0" w:space="0" w:color="auto"/>
        <w:bottom w:val="none" w:sz="0" w:space="0" w:color="auto"/>
        <w:right w:val="none" w:sz="0" w:space="0" w:color="auto"/>
      </w:divBdr>
    </w:div>
    <w:div w:id="382750323">
      <w:bodyDiv w:val="1"/>
      <w:marLeft w:val="0"/>
      <w:marRight w:val="0"/>
      <w:marTop w:val="0"/>
      <w:marBottom w:val="0"/>
      <w:divBdr>
        <w:top w:val="none" w:sz="0" w:space="0" w:color="auto"/>
        <w:left w:val="none" w:sz="0" w:space="0" w:color="auto"/>
        <w:bottom w:val="none" w:sz="0" w:space="0" w:color="auto"/>
        <w:right w:val="none" w:sz="0" w:space="0" w:color="auto"/>
      </w:divBdr>
    </w:div>
    <w:div w:id="410464862">
      <w:bodyDiv w:val="1"/>
      <w:marLeft w:val="0"/>
      <w:marRight w:val="0"/>
      <w:marTop w:val="0"/>
      <w:marBottom w:val="0"/>
      <w:divBdr>
        <w:top w:val="none" w:sz="0" w:space="0" w:color="auto"/>
        <w:left w:val="none" w:sz="0" w:space="0" w:color="auto"/>
        <w:bottom w:val="none" w:sz="0" w:space="0" w:color="auto"/>
        <w:right w:val="none" w:sz="0" w:space="0" w:color="auto"/>
      </w:divBdr>
    </w:div>
    <w:div w:id="567812400">
      <w:bodyDiv w:val="1"/>
      <w:marLeft w:val="0"/>
      <w:marRight w:val="0"/>
      <w:marTop w:val="0"/>
      <w:marBottom w:val="0"/>
      <w:divBdr>
        <w:top w:val="none" w:sz="0" w:space="0" w:color="auto"/>
        <w:left w:val="none" w:sz="0" w:space="0" w:color="auto"/>
        <w:bottom w:val="none" w:sz="0" w:space="0" w:color="auto"/>
        <w:right w:val="none" w:sz="0" w:space="0" w:color="auto"/>
      </w:divBdr>
    </w:div>
    <w:div w:id="667102581">
      <w:bodyDiv w:val="1"/>
      <w:marLeft w:val="0"/>
      <w:marRight w:val="0"/>
      <w:marTop w:val="0"/>
      <w:marBottom w:val="0"/>
      <w:divBdr>
        <w:top w:val="none" w:sz="0" w:space="0" w:color="auto"/>
        <w:left w:val="none" w:sz="0" w:space="0" w:color="auto"/>
        <w:bottom w:val="none" w:sz="0" w:space="0" w:color="auto"/>
        <w:right w:val="none" w:sz="0" w:space="0" w:color="auto"/>
      </w:divBdr>
    </w:div>
    <w:div w:id="1786273187">
      <w:bodyDiv w:val="1"/>
      <w:marLeft w:val="0"/>
      <w:marRight w:val="0"/>
      <w:marTop w:val="0"/>
      <w:marBottom w:val="0"/>
      <w:divBdr>
        <w:top w:val="none" w:sz="0" w:space="0" w:color="auto"/>
        <w:left w:val="none" w:sz="0" w:space="0" w:color="auto"/>
        <w:bottom w:val="none" w:sz="0" w:space="0" w:color="auto"/>
        <w:right w:val="none" w:sz="0" w:space="0" w:color="auto"/>
      </w:divBdr>
    </w:div>
    <w:div w:id="1820145417">
      <w:bodyDiv w:val="1"/>
      <w:marLeft w:val="0"/>
      <w:marRight w:val="0"/>
      <w:marTop w:val="0"/>
      <w:marBottom w:val="0"/>
      <w:divBdr>
        <w:top w:val="none" w:sz="0" w:space="0" w:color="auto"/>
        <w:left w:val="none" w:sz="0" w:space="0" w:color="auto"/>
        <w:bottom w:val="none" w:sz="0" w:space="0" w:color="auto"/>
        <w:right w:val="none" w:sz="0" w:space="0" w:color="auto"/>
      </w:divBdr>
    </w:div>
    <w:div w:id="1880703650">
      <w:bodyDiv w:val="1"/>
      <w:marLeft w:val="0"/>
      <w:marRight w:val="0"/>
      <w:marTop w:val="0"/>
      <w:marBottom w:val="0"/>
      <w:divBdr>
        <w:top w:val="none" w:sz="0" w:space="0" w:color="auto"/>
        <w:left w:val="none" w:sz="0" w:space="0" w:color="auto"/>
        <w:bottom w:val="none" w:sz="0" w:space="0" w:color="auto"/>
        <w:right w:val="none" w:sz="0" w:space="0" w:color="auto"/>
      </w:divBdr>
    </w:div>
    <w:div w:id="1968311221">
      <w:bodyDiv w:val="1"/>
      <w:marLeft w:val="0"/>
      <w:marRight w:val="0"/>
      <w:marTop w:val="0"/>
      <w:marBottom w:val="0"/>
      <w:divBdr>
        <w:top w:val="none" w:sz="0" w:space="0" w:color="auto"/>
        <w:left w:val="none" w:sz="0" w:space="0" w:color="auto"/>
        <w:bottom w:val="none" w:sz="0" w:space="0" w:color="auto"/>
        <w:right w:val="none" w:sz="0" w:space="0" w:color="auto"/>
      </w:divBdr>
    </w:div>
    <w:div w:id="2052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83270-e8b8-4f48-b89c-e000b29ca332">
      <Terms xmlns="http://schemas.microsoft.com/office/infopath/2007/PartnerControls"/>
    </lcf76f155ced4ddcb4097134ff3c332f>
    <TaxCatchAll xmlns="9b49c83a-6425-4893-b01c-f93677e81d95" xsi:nil="true"/>
    <Datuma_x010d_as xmlns="e1183270-e8b8-4f48-b89c-e000b29ca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7D5E34F4240C4FB66B47B2B644C49C" ma:contentTypeVersion="14" ma:contentTypeDescription="Vytvoří nový dokument" ma:contentTypeScope="" ma:versionID="812021cc05d1f88b61f933b81fdea2fc">
  <xsd:schema xmlns:xsd="http://www.w3.org/2001/XMLSchema" xmlns:xs="http://www.w3.org/2001/XMLSchema" xmlns:p="http://schemas.microsoft.com/office/2006/metadata/properties" xmlns:ns2="e1183270-e8b8-4f48-b89c-e000b29ca332" xmlns:ns3="9b49c83a-6425-4893-b01c-f93677e81d95" targetNamespace="http://schemas.microsoft.com/office/2006/metadata/properties" ma:root="true" ma:fieldsID="24c3d608061ea9602a0efa999f198f42" ns2:_="" ns3:_="">
    <xsd:import namespace="e1183270-e8b8-4f48-b89c-e000b29ca332"/>
    <xsd:import namespace="9b49c83a-6425-4893-b01c-f93677e81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uma_x010d_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83270-e8b8-4f48-b89c-e000b29ca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35b4d26-ba4a-4603-bec3-cd1f9d645e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uma_x010d_as" ma:index="21" nillable="true" ma:displayName="Datum a čas" ma:format="DateTime" ma:internalName="Datuma_x010d_a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49c83a-6425-4893-b01c-f93677e81d9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abedc263-b31d-496d-b06a-c255840300af}" ma:internalName="TaxCatchAll" ma:showField="CatchAllData" ma:web="9b49c83a-6425-4893-b01c-f93677e81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C2E61-E6E1-4EBA-A350-58BB2F6038A3}">
  <ds:schemaRefs>
    <ds:schemaRef ds:uri="http://purl.org/dc/terms/"/>
    <ds:schemaRef ds:uri="http://schemas.microsoft.com/office/2006/documentManagement/types"/>
    <ds:schemaRef ds:uri="e1183270-e8b8-4f48-b89c-e000b29ca332"/>
    <ds:schemaRef ds:uri="http://schemas.openxmlformats.org/package/2006/metadata/core-properties"/>
    <ds:schemaRef ds:uri="http://purl.org/dc/elements/1.1/"/>
    <ds:schemaRef ds:uri="http://schemas.microsoft.com/office/infopath/2007/PartnerControls"/>
    <ds:schemaRef ds:uri="9b49c83a-6425-4893-b01c-f93677e81d9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41A7BF1-8929-4589-9DF0-F9A2711C8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83270-e8b8-4f48-b89c-e000b29ca332"/>
    <ds:schemaRef ds:uri="9b49c83a-6425-4893-b01c-f93677e81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9B81B-3267-431F-BD4A-DDA69BC94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1323</Words>
  <Characters>7812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 Jáchym Ing. et Ing.</dc:creator>
  <cp:keywords/>
  <dc:description/>
  <cp:lastModifiedBy>Pelák Jiří</cp:lastModifiedBy>
  <cp:revision>19</cp:revision>
  <dcterms:created xsi:type="dcterms:W3CDTF">2025-11-13T12:28:00Z</dcterms:created>
  <dcterms:modified xsi:type="dcterms:W3CDTF">2025-11-28T07:49:00Z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0x010100C17D5E34F4240C4FB66B47B2B644C49C</vt:lpwstr>
  </property>
  <property fmtid="{D5CDD505-2E9C-101B-9397-08002B2CF9AE}" pid="3" name="MediaServiceImageTags">
    <vt:lpwstr/>
  </property>
</Properties>
</file>